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PUBLIC HEARING AND GENERAL CITY COUNCIL MEETING  </w:t>
      </w:r>
    </w:p>
    <w:p>
      <w:pPr>
        <w:pStyle w:val="Normal"/>
        <w:spacing w:lineRule="auto" w:line="240" w:before="0" w:after="0"/>
        <w:jc w:val="center"/>
        <w:rPr>
          <w:b w:val="false"/>
          <w:b w:val="false"/>
          <w:bCs w:val="false"/>
          <w:sz w:val="26"/>
          <w:szCs w:val="26"/>
        </w:rPr>
      </w:pPr>
      <w:r>
        <w:rPr>
          <w:b w:val="false"/>
          <w:bCs w:val="false"/>
          <w:sz w:val="26"/>
          <w:szCs w:val="26"/>
        </w:rPr>
        <w:t>Thursday May 9th,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Departmental Reports (Library)</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rPr>
      </w:pPr>
      <w:r>
        <w:rPr>
          <w:b/>
          <w:bCs/>
          <w:sz w:val="24"/>
          <w:szCs w:val="24"/>
        </w:rPr>
        <w:t>1.  New Construction Lot Line Variance – 145 Locust Street – Steve Banta</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 xml:space="preserve">2.  Hayter Engineering Contract - </w:t>
      </w:r>
      <w:r>
        <w:rPr>
          <w:b w:val="false"/>
          <w:bCs w:val="false"/>
          <w:sz w:val="24"/>
          <w:szCs w:val="24"/>
        </w:rPr>
        <w:t>Water System Anaysis that includes GIS Mapping  ( pump stations, ground storage tanks, elevated tanks, and production). $ 5000-7000 for mapping and for water system analysis $24,515.</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3.  Discuss and set budget workshops in June and July.</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t xml:space="preserve">4.  Discuss Code Compliance (Permits)  - </w:t>
      </w:r>
      <w:r>
        <w:rPr>
          <w:b w:val="false"/>
          <w:bCs w:val="false"/>
          <w:sz w:val="24"/>
          <w:szCs w:val="24"/>
        </w:rPr>
        <w:t>Residents  that own property inside City Limits obtaining proper permitting prior to building or placing items on land within City Limits.</w:t>
      </w:r>
    </w:p>
    <w:p>
      <w:pPr>
        <w:pStyle w:val="Normal"/>
        <w:spacing w:lineRule="auto" w:line="240" w:before="0" w:after="0"/>
        <w:jc w:val="left"/>
        <w:rPr>
          <w:b w:val="false"/>
          <w:b w:val="false"/>
          <w:bCs w:val="false"/>
        </w:rPr>
      </w:pPr>
      <w:r>
        <w:rPr>
          <w:b w:val="false"/>
          <w:bCs w:val="false"/>
          <w:sz w:val="24"/>
          <w:szCs w:val="24"/>
        </w:rPr>
        <w:t>Rv’s, Portable Buildings, Sheds, Carports, Add-On Residential Building Permits, Residential Permits, Proper Zoning, Commercial Building Permits, Certificate of Occupany, Business Permitting, TABC, Contractor Permits, Vendor Permits, Sign Permits (Proof of Liability Insurance), Utility Permits.  (www. cityofpoint.org)</w:t>
      </w:r>
    </w:p>
    <w:p>
      <w:pPr>
        <w:pStyle w:val="Normal"/>
        <w:spacing w:lineRule="auto" w:line="240" w:before="0" w:after="0"/>
        <w:jc w:val="left"/>
        <w:rPr>
          <w:b w:val="false"/>
          <w:b w:val="false"/>
          <w:bCs w:val="false"/>
        </w:rPr>
      </w:pPr>
      <w:r>
        <w:rPr>
          <w:b w:val="false"/>
          <w:bCs w:val="false"/>
          <w:sz w:val="24"/>
          <w:szCs w:val="24"/>
        </w:rPr>
        <w:t>There is a daily fine that can be assessed of 250.00 – 2,000.00 for violators witout permits.</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sz w:val="24"/>
          <w:szCs w:val="24"/>
        </w:rPr>
        <w:t xml:space="preserve">5.  </w:t>
      </w:r>
      <w:r>
        <w:rPr>
          <w:b/>
          <w:bCs/>
          <w:sz w:val="24"/>
          <w:szCs w:val="24"/>
        </w:rPr>
        <w:t>Discuss Ordinance Violations for nonpayment of Water, Sewer, Utilities, and Garbage inside city limits.</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val="false"/>
          <w:bCs w:val="false"/>
          <w:sz w:val="24"/>
          <w:szCs w:val="24"/>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May 6th,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May 9</w:t>
    </w:r>
    <w:r>
      <w:rPr>
        <w:sz w:val="20"/>
        <w:szCs w:val="20"/>
        <w:vertAlign w:val="superscript"/>
      </w:rPr>
      <w:t>th</w:t>
    </w:r>
    <w:r>
      <w:rPr>
        <w:sz w:val="20"/>
        <w:szCs w:val="20"/>
      </w:rPr>
      <w:t>, 2024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5413</TotalTime>
  <Application>LibreOffice/7.3.0.3$Windows_X86_64 LibreOffice_project/0f246aa12d0eee4a0f7adcefbf7c878fc2238db3</Application>
  <AppVersion>15.0000</AppVersion>
  <Pages>2</Pages>
  <Words>391</Words>
  <Characters>2199</Characters>
  <CharactersWithSpaces>2591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2024-05-06T14:34:25Z</cp:lastPrinted>
  <dcterms:modified xsi:type="dcterms:W3CDTF">2024-05-06T14:16:43Z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